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7E028">
      <w:pPr>
        <w:pStyle w:val="106"/>
        <w:tabs>
          <w:tab w:val="right" w:pos="9639"/>
        </w:tabs>
        <w:spacing w:after="0"/>
        <w:rPr>
          <w:b/>
          <w:sz w:val="24"/>
          <w:lang w:val="fr-FR"/>
        </w:rPr>
      </w:pPr>
      <w:bookmarkStart w:id="0" w:name="_Hlk19781073"/>
      <w:r>
        <w:rPr>
          <w:b/>
          <w:sz w:val="24"/>
          <w:lang w:val="fr-FR"/>
        </w:rPr>
        <w:t>3GPP TSG-RAN WG3 Meeting #</w:t>
      </w:r>
      <w:r>
        <w:rPr>
          <w:b/>
          <w:sz w:val="24"/>
          <w:lang w:val="fr-FR"/>
        </w:rPr>
        <w:fldChar w:fldCharType="begin"/>
      </w:r>
      <w:r>
        <w:rPr>
          <w:b/>
          <w:sz w:val="24"/>
          <w:lang w:val="fr-FR"/>
        </w:rPr>
        <w:instrText xml:space="preserve"> DOCPROPERTY  MtgSeq  \* MERGEFORMAT </w:instrText>
      </w:r>
      <w:r>
        <w:rPr>
          <w:b/>
          <w:sz w:val="24"/>
          <w:lang w:val="fr-FR"/>
        </w:rPr>
        <w:fldChar w:fldCharType="separate"/>
      </w:r>
      <w:r>
        <w:rPr>
          <w:b/>
          <w:sz w:val="24"/>
          <w:lang w:val="fr-FR"/>
        </w:rPr>
        <w:t xml:space="preserve"> 129bis</w:t>
      </w:r>
      <w:r>
        <w:rPr>
          <w:b/>
          <w:sz w:val="24"/>
        </w:rPr>
        <w:fldChar w:fldCharType="end"/>
      </w:r>
      <w:r>
        <w:rPr>
          <w:b/>
          <w:sz w:val="24"/>
          <w:lang w:val="fr-FR"/>
        </w:rPr>
        <w:tab/>
      </w:r>
      <w:r>
        <w:rPr>
          <w:b/>
          <w:sz w:val="24"/>
          <w:lang w:val="fr-FR"/>
        </w:rPr>
        <w:t>R3-</w:t>
      </w:r>
      <w:r>
        <w:rPr>
          <w:rFonts w:hint="eastAsia"/>
          <w:b/>
          <w:sz w:val="24"/>
          <w:lang w:val="fr-FR"/>
        </w:rPr>
        <w:t>257168</w:t>
      </w:r>
      <w:bookmarkStart w:id="8" w:name="_GoBack"/>
      <w:bookmarkEnd w:id="8"/>
    </w:p>
    <w:p w14:paraId="2B5F50A7">
      <w:pPr>
        <w:pStyle w:val="106"/>
        <w:tabs>
          <w:tab w:val="right" w:pos="9639"/>
        </w:tabs>
        <w:spacing w:after="0"/>
        <w:rPr>
          <w:b/>
          <w:sz w:val="24"/>
          <w:lang w:val="fr-FR"/>
        </w:rPr>
      </w:pPr>
      <w:r>
        <w:rPr>
          <w:b/>
          <w:sz w:val="24"/>
          <w:lang w:val="fr-FR"/>
        </w:rPr>
        <w:t xml:space="preserve">Prague, Czech Republic, </w:t>
      </w:r>
      <w:r>
        <w:rPr>
          <w:b/>
          <w:sz w:val="24"/>
          <w:lang w:val="fr-FR"/>
        </w:rPr>
        <w:fldChar w:fldCharType="begin"/>
      </w:r>
      <w:r>
        <w:rPr>
          <w:b/>
          <w:sz w:val="24"/>
          <w:lang w:val="fr-FR"/>
        </w:rPr>
        <w:instrText xml:space="preserve"> DOCPROPERTY  StartDate  \* MERGEFORMAT </w:instrText>
      </w:r>
      <w:r>
        <w:rPr>
          <w:b/>
          <w:sz w:val="24"/>
          <w:lang w:val="fr-FR"/>
        </w:rPr>
        <w:fldChar w:fldCharType="separate"/>
      </w:r>
      <w:r>
        <w:rPr>
          <w:b/>
          <w:sz w:val="24"/>
          <w:lang w:val="fr-FR"/>
        </w:rPr>
        <w:t>13</w:t>
      </w:r>
      <w:r>
        <w:rPr>
          <w:b/>
          <w:sz w:val="24"/>
        </w:rPr>
        <w:fldChar w:fldCharType="end"/>
      </w:r>
      <w:r>
        <w:rPr>
          <w:b/>
          <w:sz w:val="24"/>
        </w:rPr>
        <w:t xml:space="preserve"> </w:t>
      </w:r>
      <w:r>
        <w:rPr>
          <w:b/>
          <w:sz w:val="24"/>
          <w:lang w:val="fr-FR"/>
        </w:rPr>
        <w:t>– 17 October, 2025</w:t>
      </w:r>
    </w:p>
    <w:bookmarkEnd w:id="0"/>
    <w:p w14:paraId="7DDDB988">
      <w:pPr>
        <w:pStyle w:val="35"/>
        <w:rPr>
          <w:rFonts w:cs="Arial"/>
          <w:bCs/>
          <w:sz w:val="24"/>
          <w:lang w:eastAsia="ja-JP"/>
        </w:rPr>
      </w:pPr>
    </w:p>
    <w:p w14:paraId="79AF2637">
      <w:pPr>
        <w:pStyle w:val="109"/>
        <w:rPr>
          <w:rFonts w:hint="default" w:eastAsia="宋体"/>
          <w:lang w:val="en-US" w:eastAsia="zh-CN"/>
        </w:rPr>
      </w:pPr>
      <w:r>
        <w:t>Agenda Item:</w:t>
      </w:r>
      <w:r>
        <w:tab/>
      </w:r>
      <w:r>
        <w:rPr>
          <w:rFonts w:hint="default" w:eastAsia="宋体"/>
          <w:lang w:val="en-US" w:eastAsia="zh-CN"/>
        </w:rPr>
        <w:t>8.1</w:t>
      </w:r>
    </w:p>
    <w:p w14:paraId="4529C6F9">
      <w:pPr>
        <w:pStyle w:val="109"/>
        <w:rPr>
          <w:rFonts w:hint="default" w:eastAsia="宋体"/>
          <w:lang w:val="en-US" w:eastAsia="zh-CN"/>
        </w:rPr>
      </w:pPr>
      <w:r>
        <w:t>Source:</w:t>
      </w:r>
      <w:r>
        <w:tab/>
      </w:r>
      <w:r>
        <w:rPr>
          <w:rFonts w:hint="eastAsia" w:eastAsia="宋体"/>
          <w:lang w:val="en-US" w:eastAsia="zh-CN"/>
        </w:rPr>
        <w:t>ZTE Corporation</w:t>
      </w:r>
    </w:p>
    <w:p w14:paraId="10F52209">
      <w:pPr>
        <w:pStyle w:val="109"/>
        <w:ind w:left="1985" w:hanging="1985"/>
        <w:rPr>
          <w:rFonts w:hint="default" w:eastAsia="宋体"/>
          <w:lang w:val="en-US" w:eastAsia="zh-CN"/>
        </w:rPr>
      </w:pPr>
      <w:r>
        <w:t>Title:</w:t>
      </w:r>
      <w:r>
        <w:tab/>
      </w:r>
      <w:r>
        <w:rPr>
          <w:rFonts w:hint="eastAsia" w:eastAsia="宋体"/>
          <w:lang w:val="en-US" w:eastAsia="zh-CN"/>
        </w:rPr>
        <w:t xml:space="preserve">Discussion on </w:t>
      </w:r>
      <w:r>
        <w:rPr>
          <w:rFonts w:hint="default" w:eastAsia="宋体"/>
          <w:lang w:val="en-US" w:eastAsia="zh-CN"/>
        </w:rPr>
        <w:t xml:space="preserve"> average window for alternative QoS</w:t>
      </w:r>
    </w:p>
    <w:p w14:paraId="2F357B9C">
      <w:pPr>
        <w:pStyle w:val="109"/>
        <w:rPr>
          <w:rFonts w:hint="default"/>
          <w:lang w:val="en-US" w:eastAsia="ja-JP"/>
        </w:rPr>
      </w:pPr>
      <w:r>
        <w:t>Document for:</w:t>
      </w:r>
      <w:r>
        <w:tab/>
      </w:r>
      <w:r>
        <w:rPr>
          <w:rFonts w:hint="default"/>
          <w:lang w:val="en-US"/>
        </w:rPr>
        <w:t>Discussion and approval</w:t>
      </w:r>
    </w:p>
    <w:p w14:paraId="4ED144B1">
      <w:pPr>
        <w:pStyle w:val="2"/>
        <w:rPr>
          <w:rFonts w:cs="Arial"/>
        </w:rPr>
      </w:pPr>
      <w:r>
        <w:rPr>
          <w:rFonts w:cs="Arial"/>
        </w:rPr>
        <w:t>1</w:t>
      </w:r>
      <w:r>
        <w:rPr>
          <w:rFonts w:cs="Arial"/>
        </w:rPr>
        <w:tab/>
      </w:r>
      <w:r>
        <w:rPr>
          <w:rFonts w:cs="Arial"/>
        </w:rPr>
        <w:t>Introduction</w:t>
      </w:r>
    </w:p>
    <w:p w14:paraId="68E5B02F">
      <w:pPr>
        <w:pStyle w:val="11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In previous meeting RAN3 sent LS(R3-252397) to SA2 and asked whether the Aervaging Window information shall be added in the Alternative QoS Parameters in RAN3 specification. Based on the SA2 replied LS(R3-256515), we prefer to further discuss this issue. </w:t>
      </w:r>
    </w:p>
    <w:p w14:paraId="13FC9DBB">
      <w:pPr>
        <w:pStyle w:val="2"/>
        <w:numPr>
          <w:ilvl w:val="0"/>
          <w:numId w:val="0"/>
        </w:numPr>
        <w:ind w:left="1134" w:leftChars="0" w:hanging="1134" w:firstLineChars="0"/>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2D07CAC4">
      <w:pPr>
        <w:numPr>
          <w:ilvl w:val="0"/>
          <w:numId w:val="0"/>
        </w:numPr>
        <w:rPr>
          <w:rFonts w:hint="default"/>
          <w:lang w:val="en-US" w:eastAsia="zh-CN"/>
        </w:rPr>
      </w:pPr>
      <w:r>
        <w:rPr>
          <w:rFonts w:hint="default"/>
          <w:lang w:val="en-US" w:eastAsia="zh-CN"/>
        </w:rPr>
        <w:t>Companies found the mismatch description between SA2 specification and RAN3 specifications according to the detail info contained in the Alternative QoS Parameters. More specifically, the Averaging window information can be present in an Alternative QoS Profile in TS23.501 while RAN3 specifications can not achieve this. Based on the discussion outcome, RAN3 can not make consensus on how to fix this mismatch issue and preferred to ask SA2 to further clarify the introduction of this information.</w:t>
      </w:r>
    </w:p>
    <w:p w14:paraId="7C9C54E9">
      <w:pPr>
        <w:numPr>
          <w:ilvl w:val="0"/>
          <w:numId w:val="0"/>
        </w:numPr>
        <w:rPr>
          <w:rFonts w:hint="default"/>
          <w:lang w:val="en-US" w:eastAsia="zh-CN"/>
        </w:rPr>
      </w:pPr>
      <w:r>
        <w:rPr>
          <w:rFonts w:hint="default"/>
          <w:lang w:val="en-US" w:eastAsia="zh-CN"/>
        </w:rPr>
        <w:t xml:space="preserve">Based on the SA2 response in R3-252397 shown below, at least RAN3 can conduct the following </w:t>
      </w:r>
      <w:r>
        <w:rPr>
          <w:rFonts w:hint="eastAsia"/>
          <w:lang w:val="en-US" w:eastAsia="zh-CN"/>
        </w:rPr>
        <w:t>observation</w:t>
      </w:r>
      <w:r>
        <w:rPr>
          <w:rFonts w:hint="default"/>
          <w:lang w:val="en-US" w:eastAsia="zh-CN"/>
        </w:rPr>
        <w:t>:</w:t>
      </w:r>
    </w:p>
    <w:p w14:paraId="2CD53115">
      <w:pPr>
        <w:numPr>
          <w:ilvl w:val="0"/>
          <w:numId w:val="0"/>
        </w:numPr>
        <w:jc w:val="center"/>
        <w:rPr>
          <w:rFonts w:hint="default"/>
          <w:lang w:val="en-US" w:eastAsia="zh-CN"/>
        </w:rPr>
      </w:pPr>
      <w:r>
        <w:rPr>
          <w:rFonts w:hint="default"/>
          <w:lang w:val="en-US" w:eastAsia="zh-CN"/>
        </w:rPr>
        <w:t>==== content in SA2 reply LS R3-252397 ====</w:t>
      </w:r>
    </w:p>
    <w:p w14:paraId="7AA834AB">
      <w:pPr>
        <w:rPr>
          <w:lang w:val="en-US" w:eastAsia="zh-CN"/>
        </w:rPr>
      </w:pPr>
      <w:r>
        <w:rPr>
          <w:lang w:val="en-US" w:eastAsia="zh-CN"/>
        </w:rPr>
        <w:t>[</w:t>
      </w:r>
      <w:r>
        <w:rPr>
          <w:b/>
          <w:lang w:val="en-US" w:eastAsia="zh-CN"/>
        </w:rPr>
        <w:t>SA2 Answer:</w:t>
      </w:r>
      <w:r>
        <w:rPr>
          <w:lang w:val="en-US" w:eastAsia="zh-CN"/>
        </w:rPr>
        <w:t>] SA2 has discussed the LS and there are other understandings beyond Understandin</w:t>
      </w:r>
      <w:r>
        <w:rPr>
          <w:rFonts w:hint="eastAsia"/>
          <w:lang w:val="en-US" w:eastAsia="zh-CN"/>
        </w:rPr>
        <w:t>g</w:t>
      </w:r>
      <w:r>
        <w:rPr>
          <w:lang w:val="en-US" w:eastAsia="zh-CN"/>
        </w:rPr>
        <w:t xml:space="preserve"> 1 and 2. There is </w:t>
      </w:r>
      <w:r>
        <w:rPr>
          <w:highlight w:val="yellow"/>
          <w:lang w:val="en-US" w:eastAsia="zh-CN"/>
        </w:rPr>
        <w:t>no consensus on how to select and the impacts</w:t>
      </w:r>
      <w:r>
        <w:rPr>
          <w:lang w:val="en-US" w:eastAsia="zh-CN"/>
        </w:rPr>
        <w:t xml:space="preserve"> of using the averaging window of current activated QoS Profile by NG-RAN. </w:t>
      </w:r>
      <w:r>
        <w:rPr>
          <w:rFonts w:hint="eastAsia"/>
          <w:lang w:val="en-US" w:eastAsia="zh-CN"/>
        </w:rPr>
        <w:t>SA</w:t>
      </w:r>
      <w:r>
        <w:rPr>
          <w:lang w:val="en-US" w:eastAsia="zh-CN"/>
        </w:rPr>
        <w:t xml:space="preserve">2 </w:t>
      </w:r>
      <w:r>
        <w:rPr>
          <w:rFonts w:hint="eastAsia"/>
          <w:lang w:val="en-US" w:eastAsia="zh-CN"/>
        </w:rPr>
        <w:t>would</w:t>
      </w:r>
      <w:r>
        <w:rPr>
          <w:lang w:val="en-US" w:eastAsia="zh-CN"/>
        </w:rPr>
        <w:t xml:space="preserve"> </w:t>
      </w:r>
      <w:r>
        <w:rPr>
          <w:rFonts w:hint="eastAsia"/>
          <w:lang w:val="en-US" w:eastAsia="zh-CN"/>
        </w:rPr>
        <w:t>l</w:t>
      </w:r>
      <w:r>
        <w:rPr>
          <w:lang w:val="en-US" w:eastAsia="zh-CN"/>
        </w:rPr>
        <w:t xml:space="preserve">ike to </w:t>
      </w:r>
      <w:r>
        <w:rPr>
          <w:highlight w:val="yellow"/>
          <w:lang w:val="en-US" w:eastAsia="zh-CN"/>
        </w:rPr>
        <w:t>ask RAN3 to decide how to select and use</w:t>
      </w:r>
      <w:r>
        <w:rPr>
          <w:lang w:val="en-US" w:eastAsia="zh-CN"/>
        </w:rPr>
        <w:t xml:space="preserve"> the averaging window when AQP are present in the NG-RAN.</w:t>
      </w:r>
    </w:p>
    <w:p w14:paraId="2EF3F2DF">
      <w:pPr>
        <w:numPr>
          <w:ilvl w:val="0"/>
          <w:numId w:val="0"/>
        </w:numPr>
        <w:jc w:val="center"/>
        <w:rPr>
          <w:rFonts w:hint="default"/>
          <w:lang w:val="en-US" w:eastAsia="zh-CN"/>
        </w:rPr>
      </w:pPr>
      <w:r>
        <w:rPr>
          <w:rFonts w:hint="default"/>
          <w:lang w:val="en-US" w:eastAsia="zh-CN"/>
        </w:rPr>
        <w:t>==== content in SA2 reply LS R3-252397 ====</w:t>
      </w:r>
    </w:p>
    <w:p w14:paraId="1B4079FB">
      <w:pPr>
        <w:numPr>
          <w:ilvl w:val="0"/>
          <w:numId w:val="0"/>
        </w:numPr>
        <w:ind w:leftChars="0"/>
        <w:rPr>
          <w:rFonts w:hint="default"/>
          <w:b/>
          <w:bCs/>
          <w:lang w:val="en-US" w:eastAsia="zh-CN"/>
        </w:rPr>
      </w:pPr>
      <w:r>
        <w:rPr>
          <w:rFonts w:hint="eastAsia"/>
          <w:b/>
          <w:bCs/>
          <w:lang w:val="en-US" w:eastAsia="zh-CN"/>
        </w:rPr>
        <w:t xml:space="preserve">Observation 1: </w:t>
      </w:r>
      <w:r>
        <w:rPr>
          <w:rFonts w:hint="default"/>
          <w:b/>
          <w:bCs/>
          <w:lang w:val="en-US" w:eastAsia="zh-CN"/>
        </w:rPr>
        <w:t>SA2 has no agreement on how to use this averaging window information in AQP.</w:t>
      </w:r>
    </w:p>
    <w:p w14:paraId="1EF77A22">
      <w:pPr>
        <w:numPr>
          <w:ilvl w:val="0"/>
          <w:numId w:val="0"/>
        </w:numPr>
        <w:ind w:leftChars="0"/>
        <w:rPr>
          <w:rFonts w:hint="default"/>
          <w:b/>
          <w:bCs/>
          <w:lang w:val="en-US" w:eastAsia="zh-CN"/>
        </w:rPr>
      </w:pPr>
      <w:r>
        <w:rPr>
          <w:rFonts w:hint="eastAsia"/>
          <w:b/>
          <w:bCs/>
          <w:lang w:val="en-US" w:eastAsia="zh-CN"/>
        </w:rPr>
        <w:t xml:space="preserve">Observation 2: </w:t>
      </w:r>
      <w:r>
        <w:rPr>
          <w:rFonts w:hint="default"/>
          <w:b/>
          <w:bCs/>
          <w:lang w:val="en-US" w:eastAsia="zh-CN"/>
        </w:rPr>
        <w:t>RAN3 shall decide how to treat the averaging window issue.</w:t>
      </w:r>
    </w:p>
    <w:p w14:paraId="0EBF1FE3">
      <w:pPr>
        <w:numPr>
          <w:ilvl w:val="0"/>
          <w:numId w:val="0"/>
        </w:numPr>
        <w:rPr>
          <w:rFonts w:hint="eastAsia"/>
          <w:lang w:val="en-US" w:eastAsia="zh-CN"/>
        </w:rPr>
      </w:pPr>
      <w:r>
        <w:rPr>
          <w:rFonts w:hint="eastAsia"/>
          <w:lang w:val="en-US" w:eastAsia="zh-CN"/>
        </w:rPr>
        <w:t>The SA2 definition for averaging window is shown below:</w:t>
      </w:r>
    </w:p>
    <w:p w14:paraId="7DEC9948">
      <w:pPr>
        <w:numPr>
          <w:ilvl w:val="0"/>
          <w:numId w:val="0"/>
        </w:numPr>
        <w:jc w:val="center"/>
        <w:rPr>
          <w:rFonts w:hint="default"/>
          <w:lang w:val="en-US" w:eastAsia="zh-CN"/>
        </w:rPr>
      </w:pPr>
      <w:r>
        <w:rPr>
          <w:rFonts w:hint="default"/>
          <w:lang w:val="en-US" w:eastAsia="zh-CN"/>
        </w:rPr>
        <w:t>==== content in TS 23.501 ====</w:t>
      </w:r>
    </w:p>
    <w:p w14:paraId="32828149">
      <w:pPr>
        <w:pStyle w:val="5"/>
      </w:pPr>
      <w:bookmarkStart w:id="1" w:name="_Toc36187740"/>
      <w:bookmarkStart w:id="2" w:name="_Toc45183644"/>
      <w:bookmarkStart w:id="3" w:name="_Toc47342486"/>
      <w:bookmarkStart w:id="4" w:name="_Toc51769186"/>
      <w:bookmarkStart w:id="5" w:name="_Toc20149818"/>
      <w:bookmarkStart w:id="6" w:name="_Toc27846612"/>
      <w:bookmarkStart w:id="7" w:name="_Toc209600225"/>
      <w:r>
        <w:t>5.7.3.6</w:t>
      </w:r>
      <w:r>
        <w:tab/>
      </w:r>
      <w:r>
        <w:t>Averaging Window</w:t>
      </w:r>
      <w:bookmarkEnd w:id="1"/>
      <w:bookmarkEnd w:id="2"/>
      <w:bookmarkEnd w:id="3"/>
      <w:bookmarkEnd w:id="4"/>
      <w:bookmarkEnd w:id="5"/>
      <w:bookmarkEnd w:id="6"/>
      <w:bookmarkEnd w:id="7"/>
    </w:p>
    <w:p w14:paraId="53A69EF7">
      <w:pPr>
        <w:rPr>
          <w:highlight w:val="yellow"/>
        </w:rPr>
      </w:pPr>
      <w:r>
        <w:t xml:space="preserve">Each GBR QoS Flow shall be associated with an Averaging window. </w:t>
      </w:r>
      <w:r>
        <w:rPr>
          <w:highlight w:val="yellow"/>
        </w:rPr>
        <w:t>The Averaging window represents the duration over which the GFBR and MFBR shall be calculated (e.g. in the (R)AN, UPF, UE).</w:t>
      </w:r>
    </w:p>
    <w:p w14:paraId="3A2D5494">
      <w:r>
        <w:t>Every standardized 5QI (of GBR and Delay-critical GBR resource type) is associated with a default value for the Averaging window (specified in QoS characteristics Table 5.7.4.1). The averaging window may also be signalled together with a standardized 5QI to the (R)AN and UPF and if it is received, it shall be used instead of the default value.</w:t>
      </w:r>
    </w:p>
    <w:p w14:paraId="3F9475C6">
      <w:pPr>
        <w:rPr>
          <w:rFonts w:hint="default"/>
          <w:lang w:val="en-US" w:eastAsia="zh-CN"/>
        </w:rPr>
      </w:pPr>
      <w:r>
        <w:t>The Averaging window may also be signalled together with a pre-configured 5QI to the (R)AN and if it is received, it shall be used instead of the pre-configured value.</w:t>
      </w:r>
    </w:p>
    <w:p w14:paraId="590ABD87">
      <w:pPr>
        <w:numPr>
          <w:ilvl w:val="0"/>
          <w:numId w:val="0"/>
        </w:numPr>
        <w:jc w:val="center"/>
        <w:rPr>
          <w:rFonts w:hint="default"/>
          <w:lang w:val="en-US" w:eastAsia="zh-CN"/>
        </w:rPr>
      </w:pPr>
      <w:r>
        <w:rPr>
          <w:rFonts w:hint="default"/>
          <w:lang w:val="en-US" w:eastAsia="zh-CN"/>
        </w:rPr>
        <w:t>==== content in TS 23.501 ====</w:t>
      </w:r>
    </w:p>
    <w:p w14:paraId="532B1C90">
      <w:pPr>
        <w:numPr>
          <w:ilvl w:val="0"/>
          <w:numId w:val="0"/>
        </w:numPr>
        <w:rPr>
          <w:rFonts w:hint="default" w:eastAsia="宋体"/>
          <w:b w:val="0"/>
          <w:bCs w:val="0"/>
          <w:lang w:val="en-US" w:eastAsia="zh-CN"/>
        </w:rPr>
      </w:pPr>
      <w:r>
        <w:rPr>
          <w:rFonts w:hint="default" w:eastAsia="宋体"/>
          <w:b w:val="0"/>
          <w:bCs w:val="0"/>
          <w:lang w:val="en-US" w:eastAsia="zh-CN"/>
        </w:rPr>
        <w:t>Based on the current definition, the averaging window refers to a dedicated duration that the RAN (within the scope of RAN3) uses to calculate the Guaranteed Flow Bit Rate (GFBR) and Maximum Flow Bit Rate (MFBR) of a QoS flow.</w:t>
      </w:r>
    </w:p>
    <w:p w14:paraId="5E9F416B">
      <w:pPr>
        <w:numPr>
          <w:ilvl w:val="0"/>
          <w:numId w:val="0"/>
        </w:numPr>
        <w:rPr>
          <w:rFonts w:hint="default" w:eastAsia="宋体"/>
          <w:b/>
          <w:bCs/>
          <w:lang w:val="en-US" w:eastAsia="zh-CN"/>
        </w:rPr>
      </w:pPr>
      <w:r>
        <w:rPr>
          <w:rFonts w:hint="default" w:eastAsia="宋体"/>
          <w:b/>
          <w:bCs/>
          <w:lang w:val="en-US" w:eastAsia="zh-CN"/>
        </w:rPr>
        <w:t>Observation 3: SA2 defines the averaging window as a dedicated duration</w:t>
      </w:r>
      <w:r>
        <w:rPr>
          <w:rFonts w:hint="eastAsia" w:eastAsia="宋体"/>
          <w:b/>
          <w:bCs/>
          <w:lang w:val="en-US" w:eastAsia="zh-CN"/>
        </w:rPr>
        <w:t xml:space="preserve"> </w:t>
      </w:r>
      <w:r>
        <w:rPr>
          <w:rFonts w:hint="default" w:eastAsia="宋体"/>
          <w:b/>
          <w:bCs/>
          <w:lang w:val="en-US" w:eastAsia="zh-CN"/>
        </w:rPr>
        <w:t>for the RAN(RAN3 scope) to calculate the GFBR and MFBR of a QoS flow.</w:t>
      </w:r>
    </w:p>
    <w:p w14:paraId="66A74B11">
      <w:pPr>
        <w:numPr>
          <w:ilvl w:val="0"/>
          <w:numId w:val="0"/>
        </w:numPr>
        <w:rPr>
          <w:rFonts w:hint="default" w:eastAsia="宋体"/>
          <w:b w:val="0"/>
          <w:bCs w:val="0"/>
          <w:lang w:val="en-US" w:eastAsia="zh-CN"/>
        </w:rPr>
      </w:pPr>
      <w:r>
        <w:rPr>
          <w:rFonts w:hint="default" w:eastAsia="宋体"/>
          <w:b w:val="0"/>
          <w:bCs w:val="0"/>
          <w:lang w:val="en-US" w:eastAsia="zh-CN"/>
        </w:rPr>
        <w:t>Meanwhile, the Alternative QoS Profile is a defined mechanism aimed at maximizing the saving of existing QoS flows. If necessary, the RAN may utilize the lower-performance QoS profile provided by the CN to keep the processing of the QoS flow.Based on this understanding, RAN3 should first clarify the scenarios and benefits of applying the new averaging window in AQP, and then communicate RAN3’s decision on how to address the averaging window issue between SA2 and RAN3.</w:t>
      </w:r>
    </w:p>
    <w:p w14:paraId="3ADD0E9B">
      <w:pPr>
        <w:numPr>
          <w:ilvl w:val="0"/>
          <w:numId w:val="0"/>
        </w:numPr>
        <w:rPr>
          <w:rFonts w:hint="default" w:eastAsia="宋体"/>
          <w:b w:val="0"/>
          <w:bCs w:val="0"/>
          <w:lang w:val="en-US" w:eastAsia="zh-CN"/>
        </w:rPr>
      </w:pPr>
      <w:r>
        <w:rPr>
          <w:rFonts w:hint="default" w:eastAsia="宋体"/>
          <w:b/>
          <w:bCs/>
          <w:lang w:val="en-US" w:eastAsia="zh-CN"/>
        </w:rPr>
        <w:t>Proposal 1: RAN3 shall first clarify the scenarios and benefits of applying the new averaging window in AQP, and then sends final decision to SA2 on how to address the averaging window issue.</w:t>
      </w: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688C937A">
      <w:pPr>
        <w:numPr>
          <w:ilvl w:val="0"/>
          <w:numId w:val="0"/>
        </w:numPr>
        <w:ind w:leftChars="0"/>
        <w:rPr>
          <w:rFonts w:hint="default"/>
          <w:b/>
          <w:bCs/>
          <w:lang w:val="en-US" w:eastAsia="zh-CN"/>
        </w:rPr>
      </w:pPr>
      <w:r>
        <w:rPr>
          <w:rFonts w:hint="eastAsia"/>
          <w:b/>
          <w:bCs/>
          <w:lang w:val="en-US" w:eastAsia="zh-CN"/>
        </w:rPr>
        <w:t xml:space="preserve">Observation 1: </w:t>
      </w:r>
      <w:r>
        <w:rPr>
          <w:rFonts w:hint="default"/>
          <w:b/>
          <w:bCs/>
          <w:lang w:val="en-US" w:eastAsia="zh-CN"/>
        </w:rPr>
        <w:t>SA2 has no agreement on how to use this averaging window information in AQP.</w:t>
      </w:r>
    </w:p>
    <w:p w14:paraId="5D1F33D7">
      <w:pPr>
        <w:numPr>
          <w:ilvl w:val="0"/>
          <w:numId w:val="0"/>
        </w:numPr>
        <w:ind w:leftChars="0"/>
        <w:rPr>
          <w:rFonts w:hint="default"/>
          <w:b/>
          <w:bCs/>
          <w:lang w:val="en-US" w:eastAsia="zh-CN"/>
        </w:rPr>
      </w:pPr>
      <w:r>
        <w:rPr>
          <w:rFonts w:hint="eastAsia"/>
          <w:b/>
          <w:bCs/>
          <w:lang w:val="en-US" w:eastAsia="zh-CN"/>
        </w:rPr>
        <w:t xml:space="preserve">Observation 2: </w:t>
      </w:r>
      <w:r>
        <w:rPr>
          <w:rFonts w:hint="default"/>
          <w:b/>
          <w:bCs/>
          <w:lang w:val="en-US" w:eastAsia="zh-CN"/>
        </w:rPr>
        <w:t>RAN3 shall decide how to treat the averaging window issue.</w:t>
      </w:r>
    </w:p>
    <w:p w14:paraId="3770D16D">
      <w:pPr>
        <w:numPr>
          <w:ilvl w:val="0"/>
          <w:numId w:val="0"/>
        </w:numPr>
        <w:rPr>
          <w:rFonts w:hint="default" w:eastAsia="宋体"/>
          <w:b/>
          <w:bCs/>
          <w:lang w:val="en-US" w:eastAsia="zh-CN"/>
        </w:rPr>
      </w:pPr>
      <w:r>
        <w:rPr>
          <w:rFonts w:hint="default" w:eastAsia="宋体"/>
          <w:b/>
          <w:bCs/>
          <w:lang w:val="en-US" w:eastAsia="zh-CN"/>
        </w:rPr>
        <w:t>Observation 3: SA2 defines the averaging window as a dedicated duration</w:t>
      </w:r>
      <w:r>
        <w:rPr>
          <w:rFonts w:hint="eastAsia" w:eastAsia="宋体"/>
          <w:b/>
          <w:bCs/>
          <w:lang w:val="en-US" w:eastAsia="zh-CN"/>
        </w:rPr>
        <w:t xml:space="preserve"> </w:t>
      </w:r>
      <w:r>
        <w:rPr>
          <w:rFonts w:hint="default" w:eastAsia="宋体"/>
          <w:b/>
          <w:bCs/>
          <w:lang w:val="en-US" w:eastAsia="zh-CN"/>
        </w:rPr>
        <w:t>for the RAN(RAN3 scope) to calculate the GFBR and MFBR of a QoS flow.</w:t>
      </w:r>
    </w:p>
    <w:p w14:paraId="523CDB39">
      <w:pPr>
        <w:numPr>
          <w:ilvl w:val="0"/>
          <w:numId w:val="0"/>
        </w:numPr>
        <w:rPr>
          <w:rFonts w:hint="default" w:eastAsia="宋体"/>
          <w:b w:val="0"/>
          <w:bCs w:val="0"/>
          <w:lang w:val="en-US" w:eastAsia="zh-CN"/>
        </w:rPr>
      </w:pPr>
      <w:r>
        <w:rPr>
          <w:rFonts w:hint="default" w:eastAsia="宋体"/>
          <w:b/>
          <w:bCs/>
          <w:lang w:val="en-US" w:eastAsia="zh-CN"/>
        </w:rPr>
        <w:t>Proposal 1: RAN3 shall first clarify the scenarios and benefits of applying the new averaging window in AQP, and then sends final decision to SA2 on how to address the averaging window issue.</w:t>
      </w:r>
    </w:p>
    <w:p w14:paraId="396F6884">
      <w:pPr>
        <w:overflowPunct w:val="0"/>
        <w:spacing w:before="120" w:beforeLines="50" w:after="120" w:afterLines="50"/>
        <w:ind w:left="2268" w:hanging="2268"/>
        <w:textAlignment w:val="baseline"/>
        <w:rPr>
          <w:rFonts w:hint="default" w:ascii="Arial" w:hAnsi="Arial" w:cs="Arial"/>
          <w:szCs w:val="16"/>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3A3F4A"/>
    <w:rsid w:val="03402A63"/>
    <w:rsid w:val="0358398D"/>
    <w:rsid w:val="03C5653F"/>
    <w:rsid w:val="042C71E8"/>
    <w:rsid w:val="0459572E"/>
    <w:rsid w:val="0537054F"/>
    <w:rsid w:val="05E9713E"/>
    <w:rsid w:val="064019B5"/>
    <w:rsid w:val="070B1E4F"/>
    <w:rsid w:val="07661FA4"/>
    <w:rsid w:val="08A01C35"/>
    <w:rsid w:val="08AA29B2"/>
    <w:rsid w:val="09847929"/>
    <w:rsid w:val="09C7725A"/>
    <w:rsid w:val="09D1582A"/>
    <w:rsid w:val="0A1A3E7D"/>
    <w:rsid w:val="0B1D4C36"/>
    <w:rsid w:val="0C2549FA"/>
    <w:rsid w:val="0CA61AD0"/>
    <w:rsid w:val="0D2627E2"/>
    <w:rsid w:val="0E0E7D9E"/>
    <w:rsid w:val="0ED52BAE"/>
    <w:rsid w:val="10B66235"/>
    <w:rsid w:val="12992410"/>
    <w:rsid w:val="13E6177F"/>
    <w:rsid w:val="14BB2CB0"/>
    <w:rsid w:val="14DF394F"/>
    <w:rsid w:val="14E16E52"/>
    <w:rsid w:val="153257BA"/>
    <w:rsid w:val="15EC1502"/>
    <w:rsid w:val="16AC3B3F"/>
    <w:rsid w:val="173C02E1"/>
    <w:rsid w:val="17BD451F"/>
    <w:rsid w:val="18181E97"/>
    <w:rsid w:val="1A93678E"/>
    <w:rsid w:val="1A9E7418"/>
    <w:rsid w:val="1AE40A1C"/>
    <w:rsid w:val="1B6F5412"/>
    <w:rsid w:val="1C016EFF"/>
    <w:rsid w:val="1CB47B1D"/>
    <w:rsid w:val="1D46244D"/>
    <w:rsid w:val="1D8315F9"/>
    <w:rsid w:val="1DCA245E"/>
    <w:rsid w:val="1E106D3A"/>
    <w:rsid w:val="1FF44332"/>
    <w:rsid w:val="20263DCB"/>
    <w:rsid w:val="20330B5A"/>
    <w:rsid w:val="203E5DA7"/>
    <w:rsid w:val="208A7A29"/>
    <w:rsid w:val="20B44934"/>
    <w:rsid w:val="20C44AB7"/>
    <w:rsid w:val="20F5319F"/>
    <w:rsid w:val="21012835"/>
    <w:rsid w:val="21CB5781"/>
    <w:rsid w:val="22335C9D"/>
    <w:rsid w:val="22772661"/>
    <w:rsid w:val="22B456FE"/>
    <w:rsid w:val="22C1369F"/>
    <w:rsid w:val="22DB5D52"/>
    <w:rsid w:val="2423153B"/>
    <w:rsid w:val="249D3BB3"/>
    <w:rsid w:val="24C50961"/>
    <w:rsid w:val="25187744"/>
    <w:rsid w:val="25700DFA"/>
    <w:rsid w:val="26446854"/>
    <w:rsid w:val="265832F6"/>
    <w:rsid w:val="26711CA2"/>
    <w:rsid w:val="27AE16A9"/>
    <w:rsid w:val="281909F7"/>
    <w:rsid w:val="299143AA"/>
    <w:rsid w:val="2A3235C6"/>
    <w:rsid w:val="2A380D53"/>
    <w:rsid w:val="2A8C07DD"/>
    <w:rsid w:val="2AF02CA6"/>
    <w:rsid w:val="2BCD0A46"/>
    <w:rsid w:val="2C2C2F57"/>
    <w:rsid w:val="2D6B1B0F"/>
    <w:rsid w:val="2DBB7C2D"/>
    <w:rsid w:val="2E10009F"/>
    <w:rsid w:val="2E157DAA"/>
    <w:rsid w:val="2F305F78"/>
    <w:rsid w:val="2F822FAB"/>
    <w:rsid w:val="30E80B4C"/>
    <w:rsid w:val="31324159"/>
    <w:rsid w:val="31394A63"/>
    <w:rsid w:val="31E8643F"/>
    <w:rsid w:val="32872E89"/>
    <w:rsid w:val="34225B84"/>
    <w:rsid w:val="355C7B08"/>
    <w:rsid w:val="35FA36F4"/>
    <w:rsid w:val="362C2509"/>
    <w:rsid w:val="3640380C"/>
    <w:rsid w:val="366B11D8"/>
    <w:rsid w:val="36CF347B"/>
    <w:rsid w:val="371B7D77"/>
    <w:rsid w:val="37691FF5"/>
    <w:rsid w:val="37C30C14"/>
    <w:rsid w:val="39140A3F"/>
    <w:rsid w:val="397C1E1E"/>
    <w:rsid w:val="39FD3633"/>
    <w:rsid w:val="3B350DB1"/>
    <w:rsid w:val="3B692505"/>
    <w:rsid w:val="3B972E87"/>
    <w:rsid w:val="3CB81FDC"/>
    <w:rsid w:val="401B2838"/>
    <w:rsid w:val="40DF167D"/>
    <w:rsid w:val="41574A22"/>
    <w:rsid w:val="4184568E"/>
    <w:rsid w:val="41F06AA9"/>
    <w:rsid w:val="4205365D"/>
    <w:rsid w:val="4223242F"/>
    <w:rsid w:val="424A7B31"/>
    <w:rsid w:val="42867550"/>
    <w:rsid w:val="42FB3958"/>
    <w:rsid w:val="43386BE8"/>
    <w:rsid w:val="43472D70"/>
    <w:rsid w:val="438D3CA5"/>
    <w:rsid w:val="442440E7"/>
    <w:rsid w:val="448E3087"/>
    <w:rsid w:val="451A2410"/>
    <w:rsid w:val="451E7A43"/>
    <w:rsid w:val="45E97AC0"/>
    <w:rsid w:val="464623D8"/>
    <w:rsid w:val="46FA4215"/>
    <w:rsid w:val="471152BC"/>
    <w:rsid w:val="47516F45"/>
    <w:rsid w:val="479E3C8F"/>
    <w:rsid w:val="480F7446"/>
    <w:rsid w:val="48441591"/>
    <w:rsid w:val="48972EDE"/>
    <w:rsid w:val="48C45C6F"/>
    <w:rsid w:val="48DD0D98"/>
    <w:rsid w:val="48EC13B2"/>
    <w:rsid w:val="48EF66DF"/>
    <w:rsid w:val="4A5F5A11"/>
    <w:rsid w:val="4A8E2CDD"/>
    <w:rsid w:val="4BA7702D"/>
    <w:rsid w:val="4C0A34CE"/>
    <w:rsid w:val="4D0A6B13"/>
    <w:rsid w:val="4D9664D8"/>
    <w:rsid w:val="4DA335EF"/>
    <w:rsid w:val="4DA64574"/>
    <w:rsid w:val="4DBC3274"/>
    <w:rsid w:val="4E6F77EB"/>
    <w:rsid w:val="4F234069"/>
    <w:rsid w:val="500D4962"/>
    <w:rsid w:val="502D37C8"/>
    <w:rsid w:val="51521776"/>
    <w:rsid w:val="51C63383"/>
    <w:rsid w:val="51FF0996"/>
    <w:rsid w:val="5219373E"/>
    <w:rsid w:val="5295690B"/>
    <w:rsid w:val="53A82F50"/>
    <w:rsid w:val="549A523E"/>
    <w:rsid w:val="57C85F13"/>
    <w:rsid w:val="587C0C3F"/>
    <w:rsid w:val="59AA3EAA"/>
    <w:rsid w:val="59D5306A"/>
    <w:rsid w:val="59EB6F6E"/>
    <w:rsid w:val="5A3A28FB"/>
    <w:rsid w:val="5AA9184E"/>
    <w:rsid w:val="5AE23BA6"/>
    <w:rsid w:val="5B1F728F"/>
    <w:rsid w:val="5D282763"/>
    <w:rsid w:val="5DBF70F0"/>
    <w:rsid w:val="5E1B2CA8"/>
    <w:rsid w:val="5E5622D4"/>
    <w:rsid w:val="5FFD5B08"/>
    <w:rsid w:val="60A85FA1"/>
    <w:rsid w:val="615F7CCE"/>
    <w:rsid w:val="61A4713D"/>
    <w:rsid w:val="62034527"/>
    <w:rsid w:val="62BD3ADC"/>
    <w:rsid w:val="63387553"/>
    <w:rsid w:val="63B3285C"/>
    <w:rsid w:val="640F2F95"/>
    <w:rsid w:val="642A59F3"/>
    <w:rsid w:val="653C2FBA"/>
    <w:rsid w:val="653D52B2"/>
    <w:rsid w:val="65410C2D"/>
    <w:rsid w:val="65881D2A"/>
    <w:rsid w:val="66171B8A"/>
    <w:rsid w:val="667444A2"/>
    <w:rsid w:val="673E2064"/>
    <w:rsid w:val="674B5723"/>
    <w:rsid w:val="67A32799"/>
    <w:rsid w:val="68B964F5"/>
    <w:rsid w:val="6B384F8A"/>
    <w:rsid w:val="6C693B68"/>
    <w:rsid w:val="6D8E5EC9"/>
    <w:rsid w:val="6DA34DD1"/>
    <w:rsid w:val="6DD16408"/>
    <w:rsid w:val="6EA87C9B"/>
    <w:rsid w:val="6F9A56D3"/>
    <w:rsid w:val="6FAF4C4A"/>
    <w:rsid w:val="6FE93B2A"/>
    <w:rsid w:val="6FEB702D"/>
    <w:rsid w:val="71923C47"/>
    <w:rsid w:val="72DD4E02"/>
    <w:rsid w:val="73016831"/>
    <w:rsid w:val="731E366D"/>
    <w:rsid w:val="73607959"/>
    <w:rsid w:val="748E6D46"/>
    <w:rsid w:val="74DB384A"/>
    <w:rsid w:val="76235D60"/>
    <w:rsid w:val="76617F46"/>
    <w:rsid w:val="773C532B"/>
    <w:rsid w:val="77D66D40"/>
    <w:rsid w:val="77E522C1"/>
    <w:rsid w:val="77F65DDE"/>
    <w:rsid w:val="780B6C7D"/>
    <w:rsid w:val="78B10710"/>
    <w:rsid w:val="78EB75F0"/>
    <w:rsid w:val="79B936A8"/>
    <w:rsid w:val="7B203D0C"/>
    <w:rsid w:val="7CBE5D37"/>
    <w:rsid w:val="7DBB2757"/>
    <w:rsid w:val="7EAA1F98"/>
    <w:rsid w:val="7EFC65E6"/>
    <w:rsid w:val="7EFE38AC"/>
    <w:rsid w:val="7F4F6D0B"/>
    <w:rsid w:val="7F6008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58"/>
    <w:qFormat/>
    <w:uiPriority w:val="0"/>
    <w:pPr>
      <w:jc w:val="center"/>
    </w:pPr>
    <w:rPr>
      <w:i/>
    </w:rPr>
  </w:style>
  <w:style w:type="paragraph" w:styleId="35">
    <w:name w:val="header"/>
    <w:link w:val="5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0"/>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basedOn w:val="45"/>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Heading 3 Char"/>
    <w:link w:val="4"/>
    <w:qFormat/>
    <w:uiPriority w:val="0"/>
    <w:rPr>
      <w:rFonts w:ascii="Arial" w:hAnsi="Arial"/>
      <w:sz w:val="28"/>
      <w:lang w:val="en-GB"/>
    </w:rPr>
  </w:style>
  <w:style w:type="character" w:customStyle="1" w:styleId="52">
    <w:name w:val="Heading 4 Char"/>
    <w:link w:val="5"/>
    <w:qFormat/>
    <w:uiPriority w:val="0"/>
    <w:rPr>
      <w:rFonts w:ascii="Arial" w:hAnsi="Arial"/>
      <w:sz w:val="24"/>
      <w:lang w:val="en-GB"/>
    </w:rPr>
  </w:style>
  <w:style w:type="character" w:customStyle="1" w:styleId="53">
    <w:name w:val="Heading 6 Char"/>
    <w:link w:val="7"/>
    <w:qFormat/>
    <w:uiPriority w:val="0"/>
    <w:rPr>
      <w:rFonts w:ascii="Arial" w:hAnsi="Arial"/>
      <w:lang w:val="en-GB"/>
    </w:rPr>
  </w:style>
  <w:style w:type="character" w:customStyle="1" w:styleId="54">
    <w:name w:val="Document Map Char"/>
    <w:link w:val="28"/>
    <w:qFormat/>
    <w:uiPriority w:val="0"/>
    <w:rPr>
      <w:rFonts w:ascii="Tahoma" w:hAnsi="Tahoma" w:cs="Tahoma"/>
      <w:shd w:val="clear" w:color="auto" w:fill="000080"/>
      <w:lang w:val="en-GB"/>
    </w:rPr>
  </w:style>
  <w:style w:type="character" w:customStyle="1" w:styleId="55">
    <w:name w:val="Comment Text Char"/>
    <w:link w:val="29"/>
    <w:qFormat/>
    <w:uiPriority w:val="0"/>
    <w:rPr>
      <w:rFonts w:ascii="Times New Roman" w:hAnsi="Times New Roman"/>
      <w:lang w:val="en-GB"/>
    </w:rPr>
  </w:style>
  <w:style w:type="character" w:customStyle="1" w:styleId="56">
    <w:name w:val="Balloon Text Char"/>
    <w:link w:val="33"/>
    <w:qFormat/>
    <w:uiPriority w:val="0"/>
    <w:rPr>
      <w:rFonts w:ascii="Tahoma" w:hAnsi="Tahoma" w:cs="Tahoma"/>
      <w:sz w:val="16"/>
      <w:szCs w:val="16"/>
      <w:lang w:val="en-GB"/>
    </w:rPr>
  </w:style>
  <w:style w:type="character" w:customStyle="1" w:styleId="57">
    <w:name w:val="Header Char"/>
    <w:link w:val="35"/>
    <w:qFormat/>
    <w:uiPriority w:val="0"/>
    <w:rPr>
      <w:rFonts w:ascii="Arial" w:hAnsi="Arial"/>
      <w:b/>
      <w:sz w:val="18"/>
      <w:lang w:eastAsia="en-US"/>
    </w:rPr>
  </w:style>
  <w:style w:type="character" w:customStyle="1" w:styleId="58">
    <w:name w:val="Footer Char"/>
    <w:link w:val="34"/>
    <w:qFormat/>
    <w:uiPriority w:val="0"/>
    <w:rPr>
      <w:rFonts w:ascii="Arial" w:hAnsi="Arial"/>
      <w:b/>
      <w:i/>
      <w:sz w:val="18"/>
      <w:lang w:val="en-GB"/>
    </w:rPr>
  </w:style>
  <w:style w:type="character" w:customStyle="1" w:styleId="59">
    <w:name w:val="Footnote Text Char"/>
    <w:link w:val="36"/>
    <w:qFormat/>
    <w:uiPriority w:val="0"/>
    <w:rPr>
      <w:rFonts w:ascii="Times New Roman" w:hAnsi="Times New Roman"/>
      <w:sz w:val="16"/>
      <w:lang w:val="en-GB"/>
    </w:rPr>
  </w:style>
  <w:style w:type="character" w:customStyle="1" w:styleId="60">
    <w:name w:val="Comment Subject Char"/>
    <w:link w:val="43"/>
    <w:qFormat/>
    <w:uiPriority w:val="0"/>
    <w:rPr>
      <w:rFonts w:ascii="Times New Roman" w:hAnsi="Times New Roman"/>
      <w:b/>
      <w:bCs/>
      <w:lang w:val="en-GB"/>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rPr>
  </w:style>
  <w:style w:type="character" w:customStyle="1" w:styleId="68">
    <w:name w:val="TAC Char"/>
    <w:link w:val="65"/>
    <w:qFormat/>
    <w:uiPriority w:val="0"/>
    <w:rPr>
      <w:rFonts w:ascii="Arial" w:hAnsi="Arial"/>
      <w:sz w:val="18"/>
      <w:lang w:val="en-GB"/>
    </w:rPr>
  </w:style>
  <w:style w:type="character" w:customStyle="1" w:styleId="69">
    <w:name w:val="TAH Char"/>
    <w:link w:val="64"/>
    <w:qFormat/>
    <w:uiPriority w:val="0"/>
    <w:rPr>
      <w:rFonts w:ascii="Arial" w:hAnsi="Arial"/>
      <w:b/>
      <w:sz w:val="18"/>
      <w:lang w:val="en-GB"/>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rPr>
  </w:style>
  <w:style w:type="character" w:customStyle="1" w:styleId="73">
    <w:name w:val="TF Char"/>
    <w:link w:val="70"/>
    <w:qFormat/>
    <w:uiPriority w:val="0"/>
    <w:rPr>
      <w:rFonts w:ascii="Arial" w:hAnsi="Arial"/>
      <w:b/>
      <w:lang w:val="en-GB"/>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5">
    <w:name w:val="PL Char"/>
    <w:link w:val="84"/>
    <w:qFormat/>
    <w:uiPriority w:val="0"/>
    <w:rPr>
      <w:rFonts w:ascii="Courier New" w:hAnsi="Courier New"/>
      <w:sz w:val="16"/>
      <w:lang w:val="en-GB"/>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rPr>
  </w:style>
  <w:style w:type="paragraph" w:customStyle="1" w:styleId="101">
    <w:name w:val="B3"/>
    <w:basedOn w:val="12"/>
    <w:link w:val="102"/>
    <w:qFormat/>
    <w:uiPriority w:val="0"/>
  </w:style>
  <w:style w:type="character" w:customStyle="1" w:styleId="102">
    <w:name w:val="B3 Char"/>
    <w:link w:val="101"/>
    <w:qFormat/>
    <w:uiPriority w:val="0"/>
    <w:rPr>
      <w:rFonts w:ascii="Times New Roman" w:hAnsi="Times New Roman"/>
      <w:lang w:val="en-GB"/>
    </w:rPr>
  </w:style>
  <w:style w:type="paragraph" w:customStyle="1" w:styleId="103">
    <w:name w:val="B4"/>
    <w:basedOn w:val="38"/>
    <w:qFormat/>
    <w:uiPriority w:val="0"/>
  </w:style>
  <w:style w:type="paragraph" w:customStyle="1" w:styleId="104">
    <w:name w:val="B5"/>
    <w:basedOn w:val="37"/>
    <w:qFormat/>
    <w:uiPriority w:val="0"/>
  </w:style>
  <w:style w:type="paragraph" w:customStyle="1" w:styleId="105">
    <w:name w:val="ZTD"/>
    <w:basedOn w:val="89"/>
    <w:qFormat/>
    <w:uiPriority w:val="0"/>
    <w:pPr>
      <w:framePr w:hRule="auto" w:y="852"/>
    </w:pPr>
    <w:rPr>
      <w:i w:val="0"/>
      <w:sz w:val="40"/>
    </w:rPr>
  </w:style>
  <w:style w:type="paragraph" w:customStyle="1" w:styleId="106">
    <w:name w:val="CR Cover Page"/>
    <w:qFormat/>
    <w:uiPriority w:val="0"/>
    <w:pPr>
      <w:spacing w:after="120"/>
    </w:pPr>
    <w:rPr>
      <w:rFonts w:ascii="Arial" w:hAnsi="Arial" w:eastAsia="Times New Roman" w:cs="Times New Roman"/>
      <w:lang w:val="en-GB" w:eastAsia="en-US" w:bidi="ar-SA"/>
    </w:rPr>
  </w:style>
  <w:style w:type="paragraph" w:customStyle="1" w:styleId="107">
    <w:name w:val="tdoc-header"/>
    <w:qFormat/>
    <w:uiPriority w:val="0"/>
    <w:rPr>
      <w:rFonts w:ascii="Arial" w:hAnsi="Arial" w:eastAsia="Times New Roman" w:cs="Times New Roman"/>
      <w:sz w:val="24"/>
      <w:lang w:val="en-GB" w:eastAsia="en-US" w:bidi="ar-SA"/>
    </w:rPr>
  </w:style>
  <w:style w:type="paragraph" w:customStyle="1" w:styleId="108">
    <w:name w:val="First Change"/>
    <w:basedOn w:val="1"/>
    <w:qFormat/>
    <w:uiPriority w:val="0"/>
    <w:pPr>
      <w:jc w:val="center"/>
    </w:pPr>
    <w:rPr>
      <w:color w:val="FF0000"/>
    </w:rPr>
  </w:style>
  <w:style w:type="paragraph" w:customStyle="1" w:styleId="109">
    <w:name w:val="a"/>
    <w:basedOn w:val="106"/>
    <w:qFormat/>
    <w:uiPriority w:val="0"/>
    <w:pPr>
      <w:tabs>
        <w:tab w:val="left" w:pos="1985"/>
      </w:tabs>
    </w:pPr>
    <w:rPr>
      <w:rFonts w:cs="Arial"/>
      <w:b/>
      <w:bCs/>
      <w:color w:val="000000"/>
      <w:sz w:val="24"/>
      <w:szCs w:val="24"/>
      <w:lang w:val="en-US"/>
    </w:rPr>
  </w:style>
  <w:style w:type="paragraph" w:customStyle="1" w:styleId="110">
    <w:name w:val="Discussion"/>
    <w:basedOn w:val="1"/>
    <w:qFormat/>
    <w:uiPriority w:val="0"/>
    <w:rPr>
      <w:rFonts w:ascii="Arial" w:hAnsi="Arial" w:cs="Arial"/>
    </w:rPr>
  </w:style>
  <w:style w:type="paragraph" w:customStyle="1" w:styleId="111">
    <w:name w:val="TAJ"/>
    <w:basedOn w:val="71"/>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semiHidden/>
    <w:qFormat/>
    <w:uiPriority w:val="99"/>
    <w:rPr>
      <w:rFonts w:ascii="Times New Roman" w:hAnsi="Times New Roman" w:eastAsia="Times New Roman" w:cs="Times New Roman"/>
      <w:lang w:val="en-GB" w:eastAsia="en-US" w:bidi="ar-SA"/>
    </w:rPr>
  </w:style>
  <w:style w:type="character" w:customStyle="1" w:styleId="114">
    <w:name w:val="Mention"/>
    <w:unhideWhenUsed/>
    <w:qFormat/>
    <w:uiPriority w:val="99"/>
    <w:rPr>
      <w:color w:val="2B579A"/>
      <w:shd w:val="clear" w:color="auto" w:fill="E6E6E6"/>
    </w:rPr>
  </w:style>
  <w:style w:type="paragraph" w:customStyle="1" w:styleId="115">
    <w:name w:val="Discusson B1"/>
    <w:basedOn w:val="11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unhideWhenUsed/>
    <w:qFormat/>
    <w:uiPriority w:val="99"/>
    <w:rPr>
      <w:color w:val="605E5C"/>
      <w:shd w:val="clear" w:color="auto" w:fill="E1DFDD"/>
    </w:rPr>
  </w:style>
  <w:style w:type="paragraph" w:customStyle="1" w:styleId="118">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2</Pages>
  <Words>237</Words>
  <Characters>1342</Characters>
  <Lines>12</Lines>
  <Paragraphs>3</Paragraphs>
  <TotalTime>8</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2025-10-03T02:26:03Z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ACD1B79D72C14C7D98482A0BDDCAE2E9_13</vt:lpwstr>
  </property>
</Properties>
</file>